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rPr>
          <w:rFonts w:hint="eastAsia" w:ascii="方正小标宋简体" w:hAnsi="方正小标宋简体" w:eastAsia="方正小标宋简体" w:cs="方正小标宋简体"/>
          <w:sz w:val="24"/>
          <w:szCs w:val="2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24"/>
          <w:szCs w:val="24"/>
          <w:lang w:val="en-US" w:eastAsia="zh-CN"/>
        </w:rPr>
        <w:t>附件1：</w:t>
      </w:r>
    </w:p>
    <w:p>
      <w:pPr>
        <w:pStyle w:val="2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项目计划招租表</w:t>
      </w:r>
    </w:p>
    <w:p>
      <w:pPr>
        <w:pStyle w:val="2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</w:p>
    <w:tbl>
      <w:tblPr>
        <w:tblStyle w:val="3"/>
        <w:tblW w:w="14585" w:type="dxa"/>
        <w:tblInd w:w="-8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8"/>
        <w:gridCol w:w="1659"/>
        <w:gridCol w:w="1202"/>
        <w:gridCol w:w="956"/>
        <w:gridCol w:w="1100"/>
        <w:gridCol w:w="1075"/>
        <w:gridCol w:w="700"/>
        <w:gridCol w:w="1283"/>
        <w:gridCol w:w="946"/>
        <w:gridCol w:w="1470"/>
        <w:gridCol w:w="1251"/>
        <w:gridCol w:w="980"/>
        <w:gridCol w:w="12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</w:trPr>
        <w:tc>
          <w:tcPr>
            <w:tcW w:w="708" w:type="dxa"/>
            <w:vMerge w:val="restart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1659" w:type="dxa"/>
            <w:vMerge w:val="restart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房产位置</w:t>
            </w:r>
          </w:p>
        </w:tc>
        <w:tc>
          <w:tcPr>
            <w:tcW w:w="1202" w:type="dxa"/>
            <w:vMerge w:val="restart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房屋建筑面积（㎡）</w:t>
            </w:r>
          </w:p>
        </w:tc>
        <w:tc>
          <w:tcPr>
            <w:tcW w:w="3131" w:type="dxa"/>
            <w:gridSpan w:val="3"/>
            <w:vAlign w:val="center"/>
          </w:tcPr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水电消防配置情况</w:t>
            </w:r>
          </w:p>
        </w:tc>
        <w:tc>
          <w:tcPr>
            <w:tcW w:w="700" w:type="dxa"/>
            <w:vMerge w:val="restart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交付方式</w:t>
            </w:r>
          </w:p>
        </w:tc>
        <w:tc>
          <w:tcPr>
            <w:tcW w:w="1283" w:type="dxa"/>
            <w:vMerge w:val="restart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申请主体</w:t>
            </w:r>
          </w:p>
          <w:p>
            <w:pPr>
              <w:pStyle w:val="2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要求</w:t>
            </w:r>
          </w:p>
        </w:tc>
        <w:tc>
          <w:tcPr>
            <w:tcW w:w="946" w:type="dxa"/>
            <w:vMerge w:val="restart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拟招租业态</w:t>
            </w:r>
          </w:p>
        </w:tc>
        <w:tc>
          <w:tcPr>
            <w:tcW w:w="1470" w:type="dxa"/>
            <w:vMerge w:val="restart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保证金</w:t>
            </w:r>
          </w:p>
          <w:p>
            <w:pPr>
              <w:pStyle w:val="2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（万元）</w:t>
            </w:r>
          </w:p>
        </w:tc>
        <w:tc>
          <w:tcPr>
            <w:tcW w:w="1251" w:type="dxa"/>
            <w:vMerge w:val="restart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招租底价（元/年）</w:t>
            </w:r>
          </w:p>
        </w:tc>
        <w:tc>
          <w:tcPr>
            <w:tcW w:w="980" w:type="dxa"/>
            <w:vMerge w:val="restart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租赁期限（年）</w:t>
            </w:r>
          </w:p>
        </w:tc>
        <w:tc>
          <w:tcPr>
            <w:tcW w:w="1255" w:type="dxa"/>
            <w:vMerge w:val="restart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租金价格涨幅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2" w:hRule="atLeast"/>
        </w:trPr>
        <w:tc>
          <w:tcPr>
            <w:tcW w:w="708" w:type="dxa"/>
            <w:vMerge w:val="continue"/>
          </w:tcPr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659" w:type="dxa"/>
            <w:vMerge w:val="continue"/>
          </w:tcPr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02" w:type="dxa"/>
            <w:vMerge w:val="continue"/>
          </w:tcPr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56" w:type="dxa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水</w:t>
            </w:r>
          </w:p>
        </w:tc>
        <w:tc>
          <w:tcPr>
            <w:tcW w:w="1100" w:type="dxa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电</w:t>
            </w:r>
          </w:p>
        </w:tc>
        <w:tc>
          <w:tcPr>
            <w:tcW w:w="1075" w:type="dxa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消防</w:t>
            </w:r>
          </w:p>
        </w:tc>
        <w:tc>
          <w:tcPr>
            <w:tcW w:w="700" w:type="dxa"/>
            <w:vMerge w:val="continue"/>
          </w:tcPr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83" w:type="dxa"/>
            <w:vMerge w:val="continue"/>
          </w:tcPr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6" w:type="dxa"/>
            <w:vMerge w:val="continue"/>
          </w:tcPr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70" w:type="dxa"/>
            <w:vMerge w:val="continue"/>
          </w:tcPr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51" w:type="dxa"/>
            <w:vMerge w:val="continue"/>
          </w:tcPr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80" w:type="dxa"/>
            <w:vMerge w:val="continue"/>
          </w:tcPr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55" w:type="dxa"/>
            <w:vMerge w:val="continue"/>
          </w:tcPr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8" w:hRule="atLeast"/>
        </w:trPr>
        <w:tc>
          <w:tcPr>
            <w:tcW w:w="708" w:type="dxa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659" w:type="dxa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武汉市武昌区中北路青鱼嘴中碳登大厦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内部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北侧一层</w:t>
            </w:r>
          </w:p>
        </w:tc>
        <w:tc>
          <w:tcPr>
            <w:tcW w:w="1202" w:type="dxa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209.66</w:t>
            </w:r>
          </w:p>
          <w:p>
            <w:pPr>
              <w:pStyle w:val="2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831" w:type="dxa"/>
            <w:gridSpan w:val="4"/>
            <w:vAlign w:val="center"/>
          </w:tcPr>
          <w:p>
            <w:pPr>
              <w:pStyle w:val="2"/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按移交时现状</w:t>
            </w:r>
          </w:p>
        </w:tc>
        <w:tc>
          <w:tcPr>
            <w:tcW w:w="1283" w:type="dxa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独立法人/分公司/分支机构</w:t>
            </w:r>
          </w:p>
        </w:tc>
        <w:tc>
          <w:tcPr>
            <w:tcW w:w="946" w:type="dxa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商业（符合大厦入驻要求）</w:t>
            </w:r>
          </w:p>
        </w:tc>
        <w:tc>
          <w:tcPr>
            <w:tcW w:w="1470" w:type="dxa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1251" w:type="dxa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956049.6</w:t>
            </w:r>
          </w:p>
        </w:tc>
        <w:tc>
          <w:tcPr>
            <w:tcW w:w="980" w:type="dxa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1255" w:type="dxa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每两个租赁年度涨幅率6%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92" w:hRule="atLeast"/>
        </w:trPr>
        <w:tc>
          <w:tcPr>
            <w:tcW w:w="708" w:type="dxa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特别</w:t>
            </w:r>
          </w:p>
          <w:p>
            <w:pPr>
              <w:pStyle w:val="2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说明</w:t>
            </w:r>
          </w:p>
        </w:tc>
        <w:tc>
          <w:tcPr>
            <w:tcW w:w="13877" w:type="dxa"/>
            <w:gridSpan w:val="12"/>
            <w:vAlign w:val="center"/>
          </w:tcPr>
          <w:p>
            <w:pPr>
              <w:pStyle w:val="2"/>
              <w:ind w:left="0" w:leftChars="0" w:firstLine="0" w:firstLineChars="0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1.在上述表中招租房场产的水、气、暖、消防以移交时现状为准，除《租赁会同》约定由出租人进行整改的内容外，其余均按移交时现状交付，后续项目建筑和设施设备维修、维护保养由承租方承担。</w:t>
            </w:r>
          </w:p>
          <w:p>
            <w:pPr>
              <w:pStyle w:val="2"/>
              <w:ind w:left="0" w:leftChars="0" w:firstLine="0" w:firstLineChars="0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2.上述列表中招租房产，未经允许不得擅自转租。</w:t>
            </w:r>
          </w:p>
          <w:p>
            <w:pPr>
              <w:pStyle w:val="2"/>
              <w:ind w:left="0" w:leftChars="0" w:firstLine="0" w:firstLineChars="0"/>
              <w:jc w:val="both"/>
              <w:rPr>
                <w:rFonts w:hint="default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3.租赁期限为5年，含租金减半期2个月，租赁期限自交付之日或视为交付之日起计算，最终以合同约定为准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。</w:t>
            </w:r>
          </w:p>
          <w:p>
            <w:pPr>
              <w:pStyle w:val="2"/>
              <w:ind w:left="0" w:leftChars="0" w:firstLine="0" w:firstLineChars="0"/>
              <w:jc w:val="both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4.招租底价为含税价格，且含税仅指包含增值税。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E4ZmU1YTNkMmJkODUzZTFiYmVlN2M1MTNhNWU1MTYifQ=="/>
  </w:docVars>
  <w:rsids>
    <w:rsidRoot w:val="3E4A3ECD"/>
    <w:rsid w:val="1F9B02E3"/>
    <w:rsid w:val="20BC17B5"/>
    <w:rsid w:val="36277E7F"/>
    <w:rsid w:val="3E4A3ECD"/>
    <w:rsid w:val="3E4E4204"/>
    <w:rsid w:val="4627372E"/>
    <w:rsid w:val="47714F0C"/>
    <w:rsid w:val="52CA5C60"/>
    <w:rsid w:val="5AF05F23"/>
    <w:rsid w:val="6C572303"/>
    <w:rsid w:val="7E7C7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rFonts w:ascii="Calibri" w:hAnsi="Calibri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330</Words>
  <Characters>348</Characters>
  <Lines>0</Lines>
  <Paragraphs>0</Paragraphs>
  <TotalTime>0</TotalTime>
  <ScaleCrop>false</ScaleCrop>
  <LinksUpToDate>false</LinksUpToDate>
  <CharactersWithSpaces>348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2023-09-11T14:13:00Z</dcterms:created>
  <dc:creator>辉哥</dc:creator>
  <cp:lastModifiedBy>辉哥</cp:lastModifiedBy>
  <dcterms:modified xsi:type="dcterms:W3CDTF">2023-09-14T03:35:35Z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E43A9E7133BD44BBA46C162D76EF897D_11</vt:lpwstr>
  </property>
</Properties>
</file>